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53" w:rsidRDefault="000A6953">
      <w:pPr>
        <w:pStyle w:val="ConsPlusTitle"/>
        <w:jc w:val="center"/>
        <w:outlineLvl w:val="0"/>
      </w:pPr>
      <w:bookmarkStart w:id="0" w:name="_GoBack"/>
      <w:bookmarkEnd w:id="0"/>
      <w:r>
        <w:t>АДМИНИСТРАЦИЯ ПРИМОРСКОГО КРАЯ</w:t>
      </w:r>
    </w:p>
    <w:p w:rsidR="000A6953" w:rsidRDefault="000A6953">
      <w:pPr>
        <w:pStyle w:val="ConsPlusTitle"/>
        <w:jc w:val="center"/>
      </w:pPr>
    </w:p>
    <w:p w:rsidR="000A6953" w:rsidRDefault="000A6953">
      <w:pPr>
        <w:pStyle w:val="ConsPlusTitle"/>
        <w:jc w:val="center"/>
      </w:pPr>
      <w:r>
        <w:t>ПОСТАНОВЛЕНИЕ</w:t>
      </w:r>
    </w:p>
    <w:p w:rsidR="000A6953" w:rsidRDefault="000A6953">
      <w:pPr>
        <w:pStyle w:val="ConsPlusTitle"/>
        <w:jc w:val="center"/>
      </w:pPr>
      <w:r>
        <w:t>от 29 мая 2013 г. N 207-па</w:t>
      </w:r>
    </w:p>
    <w:p w:rsidR="000A6953" w:rsidRDefault="000A6953">
      <w:pPr>
        <w:pStyle w:val="ConsPlusTitle"/>
        <w:jc w:val="center"/>
      </w:pPr>
    </w:p>
    <w:p w:rsidR="000A6953" w:rsidRDefault="000A6953">
      <w:pPr>
        <w:pStyle w:val="ConsPlusTitle"/>
        <w:jc w:val="center"/>
      </w:pPr>
      <w:r>
        <w:t>О ВЫПЛАТЕ ВОЗНАГРАЖДЕНИЯ ГРАЖДАНАМ,</w:t>
      </w:r>
    </w:p>
    <w:p w:rsidR="000A6953" w:rsidRDefault="000A6953">
      <w:pPr>
        <w:pStyle w:val="ConsPlusTitle"/>
        <w:jc w:val="center"/>
      </w:pPr>
      <w:r>
        <w:t>ДОБРОВОЛЬНО СДАВШИМ НЕЗАКОННО ХРАНЯЩИЕСЯ У НИХ ОРУЖИЕ,</w:t>
      </w:r>
    </w:p>
    <w:p w:rsidR="000A6953" w:rsidRDefault="000A6953">
      <w:pPr>
        <w:pStyle w:val="ConsPlusTitle"/>
        <w:jc w:val="center"/>
      </w:pPr>
      <w:r>
        <w:t>БОЕПРИПАСЫ, ВЗРЫВЧАТЫЕ ВЕЩЕСТВА И ВЗРЫВНЫЕ УСТРОЙСТВА</w:t>
      </w: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Устава</w:t>
        </w:r>
      </w:hyperlink>
      <w:r>
        <w:t xml:space="preserve"> Приморского края, 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6 марта 2006 года N 35-ФЗ "О противодействии терроризму", поручения Президента Российской Федерации от 2 октября 2012 года N Пр-2613 Администрация Приморского края постановляет:</w:t>
      </w:r>
    </w:p>
    <w:p w:rsidR="000A6953" w:rsidRDefault="000A6953">
      <w:pPr>
        <w:pStyle w:val="ConsPlusNormal"/>
        <w:ind w:firstLine="540"/>
        <w:jc w:val="both"/>
      </w:pPr>
      <w:r>
        <w:t>1. Установить расходное обязательство Приморского края по выплате вознаграждения гражданам, добровольно сдавшим незаконно хранящиеся у них оружие, боеприпасы, взрывчатые вещества и взрывные устройства.</w:t>
      </w:r>
    </w:p>
    <w:p w:rsidR="000A6953" w:rsidRDefault="000A6953">
      <w:pPr>
        <w:pStyle w:val="ConsPlusNormal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выплаты вознаграждения гражданам, добровольно сдавшим незаконно хранящиеся у них оружие, боеприпасы, взрывчатые вещества и взрывные устройства (прилагается).</w:t>
      </w:r>
    </w:p>
    <w:p w:rsidR="000A6953" w:rsidRDefault="000A6953">
      <w:pPr>
        <w:pStyle w:val="ConsPlusNormal"/>
        <w:ind w:firstLine="540"/>
        <w:jc w:val="both"/>
      </w:pPr>
      <w:r>
        <w:t>3. Департаменту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в целях реализации настоящего постановления ежегодно заключать соглашение с Управлением Министерства внутренних дел Российской Федерации по Приморскому краю о взаимодействии в сфере обеспечения и защиты прав и свобод человека и гражданина, охраны общественного порядка, противодействия терроризму и экстремизму, борьбы с преступностью.</w:t>
      </w:r>
    </w:p>
    <w:p w:rsidR="000A6953" w:rsidRDefault="000A6953">
      <w:pPr>
        <w:pStyle w:val="ConsPlusNormal"/>
        <w:ind w:firstLine="540"/>
        <w:jc w:val="both"/>
      </w:pPr>
      <w:r>
        <w:t>4.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0A6953" w:rsidRDefault="000A6953">
      <w:pPr>
        <w:pStyle w:val="ConsPlusNormal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jc w:val="right"/>
      </w:pPr>
      <w:r>
        <w:t>Губернатор края -</w:t>
      </w:r>
    </w:p>
    <w:p w:rsidR="000A6953" w:rsidRDefault="000A6953">
      <w:pPr>
        <w:pStyle w:val="ConsPlusNormal"/>
        <w:jc w:val="right"/>
      </w:pPr>
      <w:r>
        <w:t>Глава Администрации</w:t>
      </w:r>
    </w:p>
    <w:p w:rsidR="000A6953" w:rsidRDefault="000A6953">
      <w:pPr>
        <w:pStyle w:val="ConsPlusNormal"/>
        <w:jc w:val="right"/>
      </w:pPr>
      <w:r>
        <w:t>Приморского края</w:t>
      </w:r>
    </w:p>
    <w:p w:rsidR="000A6953" w:rsidRDefault="000A6953">
      <w:pPr>
        <w:pStyle w:val="ConsPlusNormal"/>
        <w:jc w:val="right"/>
      </w:pPr>
      <w:r>
        <w:t>В.В.МИКЛУШЕВСКИЙ</w:t>
      </w: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953" w:rsidRDefault="000A6953">
      <w:pPr>
        <w:pStyle w:val="ConsPlusNormal"/>
        <w:jc w:val="right"/>
        <w:outlineLvl w:val="0"/>
      </w:pPr>
      <w:r>
        <w:lastRenderedPageBreak/>
        <w:t>Утвержден</w:t>
      </w:r>
    </w:p>
    <w:p w:rsidR="000A6953" w:rsidRDefault="000A6953">
      <w:pPr>
        <w:pStyle w:val="ConsPlusNormal"/>
        <w:jc w:val="right"/>
      </w:pPr>
      <w:r>
        <w:t>постановлением</w:t>
      </w:r>
    </w:p>
    <w:p w:rsidR="000A6953" w:rsidRDefault="000A6953">
      <w:pPr>
        <w:pStyle w:val="ConsPlusNormal"/>
        <w:jc w:val="right"/>
      </w:pPr>
      <w:r>
        <w:t>Администрации</w:t>
      </w:r>
    </w:p>
    <w:p w:rsidR="000A6953" w:rsidRDefault="000A6953">
      <w:pPr>
        <w:pStyle w:val="ConsPlusNormal"/>
        <w:jc w:val="right"/>
      </w:pPr>
      <w:r>
        <w:t>Приморского края</w:t>
      </w:r>
    </w:p>
    <w:p w:rsidR="000A6953" w:rsidRDefault="000A6953">
      <w:pPr>
        <w:pStyle w:val="ConsPlusNormal"/>
        <w:jc w:val="right"/>
      </w:pPr>
      <w:r>
        <w:t>от 29.05.2013 N 207-па</w:t>
      </w: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Title"/>
        <w:jc w:val="center"/>
      </w:pPr>
      <w:bookmarkStart w:id="1" w:name="P32"/>
      <w:bookmarkEnd w:id="1"/>
      <w:r>
        <w:t>ПОРЯДОК</w:t>
      </w:r>
    </w:p>
    <w:p w:rsidR="000A6953" w:rsidRDefault="000A6953">
      <w:pPr>
        <w:pStyle w:val="ConsPlusTitle"/>
        <w:jc w:val="center"/>
      </w:pPr>
      <w:r>
        <w:t>ВЫПЛАТЫ ВОЗНАГРАЖДЕНИЯ ГРАЖДАНАМ, ДОБРОВОЛЬНО СДАВШИМ</w:t>
      </w:r>
    </w:p>
    <w:p w:rsidR="000A6953" w:rsidRDefault="000A6953">
      <w:pPr>
        <w:pStyle w:val="ConsPlusTitle"/>
        <w:jc w:val="center"/>
      </w:pPr>
      <w:r>
        <w:t>НЕЗАКОННО ХРАНЯЩИЕСЯ У НИХ ОРУЖИЕ, БОЕПРИПАСЫ,</w:t>
      </w:r>
    </w:p>
    <w:p w:rsidR="000A6953" w:rsidRDefault="000A6953">
      <w:pPr>
        <w:pStyle w:val="ConsPlusTitle"/>
        <w:jc w:val="center"/>
      </w:pPr>
      <w:r>
        <w:t>ВЗРЫВЧАТЫЕ ВЕЩЕСТВА И ВЗРЫВНЫЕ УСТРОЙСТВА</w:t>
      </w: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  <w:r>
        <w:t>1. Настоящий Порядок устанавливает правила выплаты вознаграждения гражданам, в том числе иностранным гражданам и лицам без гражданства, (далее - граждане) за добровольную сдачу незаконно хранящихся у них оружия, боеприпасов, взрывчатых веществ и взрывных устройств (далее соответственно - вознаграждение, предметы вооружения), а также размеры указанного вознаграждения.</w:t>
      </w:r>
    </w:p>
    <w:p w:rsidR="000A6953" w:rsidRDefault="000A6953">
      <w:pPr>
        <w:pStyle w:val="ConsPlusNormal"/>
        <w:ind w:firstLine="540"/>
        <w:jc w:val="both"/>
      </w:pPr>
      <w:bookmarkStart w:id="2" w:name="P38"/>
      <w:bookmarkEnd w:id="2"/>
      <w:r>
        <w:t>2. Для получения вознаграждения гражданин одновременно с добровольной сдачей незаконно хранящихся у него предметов вооружения предоставляет в территориальный орган внутренних дел Приморского края (далее - территориальный орган внутренних дел) по месту жительства следующие документы:</w:t>
      </w:r>
    </w:p>
    <w:p w:rsidR="000A6953" w:rsidRDefault="000A6953">
      <w:pPr>
        <w:pStyle w:val="ConsPlusNormal"/>
        <w:ind w:firstLine="540"/>
        <w:jc w:val="both"/>
      </w:pPr>
      <w:r>
        <w:t>заявление в письменной форме на имя директора департамента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(далее - департамент) на выплату вознаграждения за добровольно сданные, незаконно хранящиеся предметы вооружения, в котором указываются наименования и количество сданных, незаконно хранящихся предметов вооружения, паспортные данные гражданина, номер лицевого счета, открытого в кредитной организации, банковские реквизиты кредитной организации;</w:t>
      </w:r>
    </w:p>
    <w:p w:rsidR="000A6953" w:rsidRDefault="000A6953">
      <w:pPr>
        <w:pStyle w:val="ConsPlusNormal"/>
        <w:ind w:firstLine="540"/>
        <w:jc w:val="both"/>
      </w:pPr>
      <w:r>
        <w:t>копию документа, удостоверяющего личность гражданина, с предъявлением оригинала.</w:t>
      </w:r>
    </w:p>
    <w:p w:rsidR="000A6953" w:rsidRDefault="000A6953">
      <w:pPr>
        <w:pStyle w:val="ConsPlusNormal"/>
        <w:ind w:firstLine="540"/>
        <w:jc w:val="both"/>
      </w:pPr>
      <w:r>
        <w:t xml:space="preserve">3. Документы,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предоставляются в территориальный орган внутренних дел, осуществляющий их прием на основании соглашения о взаимодействии в сфере обеспечения и защиты прав и свобод человека и гражданина, охраны общественного порядка, противодействия терроризму и экстремизму, борьбы с преступностью, заключенного между департаментом и Управлением Министерства внутренних дел Российской Федерации по Приморскому краю (далее соответственно - соглашение о взаимодействии, УМВД России по Приморскому краю).</w:t>
      </w:r>
    </w:p>
    <w:p w:rsidR="000A6953" w:rsidRDefault="000A6953">
      <w:pPr>
        <w:pStyle w:val="ConsPlusNormal"/>
        <w:ind w:firstLine="540"/>
        <w:jc w:val="both"/>
      </w:pPr>
      <w:bookmarkStart w:id="3" w:name="P42"/>
      <w:bookmarkEnd w:id="3"/>
      <w:r>
        <w:t xml:space="preserve">4. УМВД России по Приморскому краю в сроки, установленные соглашением о взаимодействии, направляет в департамент документы,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Порядка, а также справку о перечне и количестве добровольно сданных, незаконно хранящихся у граждан предметов вооружения по форме, установленной соглашением о взаимодействии.</w:t>
      </w:r>
    </w:p>
    <w:p w:rsidR="000A6953" w:rsidRDefault="000A6953">
      <w:pPr>
        <w:pStyle w:val="ConsPlusNormal"/>
        <w:ind w:firstLine="540"/>
        <w:jc w:val="both"/>
      </w:pPr>
      <w:r>
        <w:t xml:space="preserve">5. Департамент в течение семи рабочих дней со дня поступления из УМВД России по Приморскому краю документов, указанных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настоящего Порядка, принимает решение об осуществлении выплаты вознаграждения с указанием получателя вознаграждения и его конкретного размера с учетом размеров вознаграждения гражданам за добровольную сдачу незаконно хранящихся у них предметов вооружения, установленных согласно </w:t>
      </w:r>
      <w:hyperlink w:anchor="P68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0A6953" w:rsidRDefault="000A6953">
      <w:pPr>
        <w:pStyle w:val="ConsPlusNormal"/>
        <w:ind w:firstLine="540"/>
        <w:jc w:val="both"/>
      </w:pPr>
      <w:r>
        <w:t>6. Департамент в течение семи рабочих дней со дня принятия решения об осуществлении выплаты вознаграждения готовит и направляет реестр на перечисление вознаграждения в государственное казенное учреждение Приморское казначейство (далее - ГКУ Приморское казначейство) на основании договора о передаче отдельных функций главного распорядителя средств краевого бюджета ГКУ Приморское казначейство, заключенного с департаментом.</w:t>
      </w:r>
    </w:p>
    <w:p w:rsidR="000A6953" w:rsidRDefault="000A6953">
      <w:pPr>
        <w:pStyle w:val="ConsPlusNormal"/>
        <w:ind w:firstLine="540"/>
        <w:jc w:val="both"/>
      </w:pPr>
      <w:r>
        <w:t>7. Выплата вознаграждения осуществляется с лицевого счета департамента, открытого в Управлении Федерального казначейства по Приморскому краю (далее - УФК по Приморскому краю), на лицевые счета граждан, открытые в кредитных организациях, в течение пяти рабочих дней со дня поступления средств на лицевой счет департамента путем предоставления в УФК по Приморскому краю заявки на кассовый расход, подготовленной ГКУ Приморское казначейство на основании реестра на перечисление вознаграждения.</w:t>
      </w:r>
    </w:p>
    <w:p w:rsidR="000A6953" w:rsidRDefault="000A6953">
      <w:pPr>
        <w:pStyle w:val="ConsPlusNormal"/>
        <w:ind w:firstLine="540"/>
        <w:jc w:val="both"/>
      </w:pPr>
      <w:r>
        <w:lastRenderedPageBreak/>
        <w:t>8. Средства краевого бюджета на выплату вознаграждения гражданам за добровольную сдачу незаконно хранящихся у них предметов вооружения носят целевой характер и не могут быть использованы департаментом на другие цели.</w:t>
      </w:r>
    </w:p>
    <w:p w:rsidR="000A6953" w:rsidRDefault="000A6953">
      <w:pPr>
        <w:pStyle w:val="ConsPlusNormal"/>
        <w:ind w:firstLine="540"/>
        <w:jc w:val="both"/>
      </w:pPr>
      <w:r>
        <w:t>9. Департамент ежегодно в сроки, установленные соглашением о взаимодействии, направляет в УМВД России по Приморскому краю информацию о выплате вознаграждения гражданам за добровольную сдачу незаконно хранящихся у них предметов вооружения.</w:t>
      </w: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A6953" w:rsidRDefault="000A6953">
      <w:pPr>
        <w:pStyle w:val="ConsPlusNormal"/>
        <w:jc w:val="right"/>
        <w:outlineLvl w:val="1"/>
      </w:pPr>
      <w:r>
        <w:lastRenderedPageBreak/>
        <w:t>Приложение</w:t>
      </w:r>
    </w:p>
    <w:p w:rsidR="000A6953" w:rsidRDefault="000A6953">
      <w:pPr>
        <w:pStyle w:val="ConsPlusNormal"/>
        <w:jc w:val="right"/>
      </w:pPr>
      <w:r>
        <w:t>к Порядку</w:t>
      </w:r>
    </w:p>
    <w:p w:rsidR="000A6953" w:rsidRDefault="000A6953">
      <w:pPr>
        <w:pStyle w:val="ConsPlusNormal"/>
        <w:jc w:val="right"/>
      </w:pPr>
      <w:r>
        <w:t>выплаты вознаграждения</w:t>
      </w:r>
    </w:p>
    <w:p w:rsidR="000A6953" w:rsidRDefault="000A6953">
      <w:pPr>
        <w:pStyle w:val="ConsPlusNormal"/>
        <w:jc w:val="right"/>
      </w:pPr>
      <w:r>
        <w:t>гражданам, добровольно</w:t>
      </w:r>
    </w:p>
    <w:p w:rsidR="000A6953" w:rsidRDefault="000A6953">
      <w:pPr>
        <w:pStyle w:val="ConsPlusNormal"/>
        <w:jc w:val="right"/>
      </w:pPr>
      <w:r>
        <w:t>сдавшим незаконно</w:t>
      </w:r>
    </w:p>
    <w:p w:rsidR="000A6953" w:rsidRDefault="000A6953">
      <w:pPr>
        <w:pStyle w:val="ConsPlusNormal"/>
        <w:jc w:val="right"/>
      </w:pPr>
      <w:r>
        <w:t>хранящиеся у них</w:t>
      </w:r>
    </w:p>
    <w:p w:rsidR="000A6953" w:rsidRDefault="000A6953">
      <w:pPr>
        <w:pStyle w:val="ConsPlusNormal"/>
        <w:jc w:val="right"/>
      </w:pPr>
      <w:r>
        <w:t>оружие, боеприпасы,</w:t>
      </w:r>
    </w:p>
    <w:p w:rsidR="000A6953" w:rsidRDefault="000A6953">
      <w:pPr>
        <w:pStyle w:val="ConsPlusNormal"/>
        <w:jc w:val="right"/>
      </w:pPr>
      <w:r>
        <w:t>взрывчатые вещества</w:t>
      </w:r>
    </w:p>
    <w:p w:rsidR="000A6953" w:rsidRDefault="000A6953">
      <w:pPr>
        <w:pStyle w:val="ConsPlusNormal"/>
        <w:jc w:val="right"/>
      </w:pPr>
      <w:r>
        <w:t>и взрывные устройства,</w:t>
      </w:r>
    </w:p>
    <w:p w:rsidR="000A6953" w:rsidRDefault="000A6953">
      <w:pPr>
        <w:pStyle w:val="ConsPlusNormal"/>
        <w:jc w:val="right"/>
      </w:pPr>
      <w:r>
        <w:t>утвержденному</w:t>
      </w:r>
    </w:p>
    <w:p w:rsidR="000A6953" w:rsidRDefault="000A6953">
      <w:pPr>
        <w:pStyle w:val="ConsPlusNormal"/>
        <w:jc w:val="right"/>
      </w:pPr>
      <w:r>
        <w:t>постановлением</w:t>
      </w:r>
    </w:p>
    <w:p w:rsidR="000A6953" w:rsidRDefault="000A6953">
      <w:pPr>
        <w:pStyle w:val="ConsPlusNormal"/>
        <w:jc w:val="right"/>
      </w:pPr>
      <w:r>
        <w:t>Администрации</w:t>
      </w:r>
    </w:p>
    <w:p w:rsidR="000A6953" w:rsidRDefault="000A6953">
      <w:pPr>
        <w:pStyle w:val="ConsPlusNormal"/>
        <w:jc w:val="right"/>
      </w:pPr>
      <w:r>
        <w:t>Приморского края</w:t>
      </w:r>
    </w:p>
    <w:p w:rsidR="000A6953" w:rsidRDefault="000A6953">
      <w:pPr>
        <w:pStyle w:val="ConsPlusNormal"/>
        <w:jc w:val="right"/>
      </w:pPr>
      <w:r>
        <w:t>от 29.05.2013 N 207-па</w:t>
      </w: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Title"/>
        <w:jc w:val="center"/>
      </w:pPr>
      <w:bookmarkStart w:id="4" w:name="P68"/>
      <w:bookmarkEnd w:id="4"/>
      <w:r>
        <w:t>РАЗМЕРЫ</w:t>
      </w:r>
    </w:p>
    <w:p w:rsidR="000A6953" w:rsidRDefault="000A6953">
      <w:pPr>
        <w:pStyle w:val="ConsPlusTitle"/>
        <w:jc w:val="center"/>
      </w:pPr>
      <w:r>
        <w:t>ВОЗНАГРАЖДЕНИЯ ГРАЖДАНАМ ЗА ДОБРОВОЛЬНУЮ СДАЧУ</w:t>
      </w:r>
    </w:p>
    <w:p w:rsidR="000A6953" w:rsidRDefault="000A6953">
      <w:pPr>
        <w:pStyle w:val="ConsPlusTitle"/>
        <w:jc w:val="center"/>
      </w:pPr>
      <w:r>
        <w:t>НЕЗАКОННО ХРАНЯЩИХСЯ У НИХ ОРУЖИЯ, БОЕПРИПАСОВ,</w:t>
      </w:r>
    </w:p>
    <w:p w:rsidR="000A6953" w:rsidRDefault="000A6953">
      <w:pPr>
        <w:pStyle w:val="ConsPlusTitle"/>
        <w:jc w:val="center"/>
      </w:pPr>
      <w:r>
        <w:t>ВЗРЫВЧАТЫХ ВЕЩЕСТВ И ВЗРЫВНЫХ УСТРОЙСТВ</w:t>
      </w:r>
    </w:p>
    <w:p w:rsidR="000A6953" w:rsidRDefault="000A69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250"/>
        <w:gridCol w:w="3250"/>
      </w:tblGrid>
      <w:tr w:rsidR="000A6953">
        <w:trPr>
          <w:trHeight w:val="256"/>
        </w:trPr>
        <w:tc>
          <w:tcPr>
            <w:tcW w:w="6250" w:type="dxa"/>
          </w:tcPr>
          <w:p w:rsidR="000A6953" w:rsidRDefault="000A6953">
            <w:pPr>
              <w:pStyle w:val="ConsPlusNonformat"/>
              <w:jc w:val="both"/>
            </w:pPr>
            <w:r>
              <w:t xml:space="preserve">  Наименование сдаваемых предметов вооружения   </w:t>
            </w:r>
          </w:p>
        </w:tc>
        <w:tc>
          <w:tcPr>
            <w:tcW w:w="3250" w:type="dxa"/>
          </w:tcPr>
          <w:p w:rsidR="000A6953" w:rsidRDefault="000A6953">
            <w:pPr>
              <w:pStyle w:val="ConsPlusNonformat"/>
              <w:jc w:val="both"/>
            </w:pPr>
            <w:r>
              <w:t xml:space="preserve"> Размер вознаграждения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                       1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Боевое ручное стрелковое оружие, за исключением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боевого короткоствольного ручного стрелкового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оружия             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пять тысяч рублей за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каждую единицу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Боевое короткоствольное ручное стрелковое  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оружие, служебное нарезное короткоствольное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оружие             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четыре тысячи пятьсот   </w:t>
            </w:r>
          </w:p>
          <w:p w:rsidR="000A6953" w:rsidRDefault="000A6953">
            <w:pPr>
              <w:pStyle w:val="ConsPlusNonformat"/>
              <w:jc w:val="both"/>
            </w:pPr>
            <w:r>
              <w:t>рублей за каждую единицу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Гражданское огнестрельное оружие с нарезным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стволом            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две тысячи рублей за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каждую единицу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Гражданское огнестрельное гладкоствольное  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оружие, служебное огнестрельное гладкоствольное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оружие, самодельное огнестрельное оружие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одна тысяча рублей за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каждую единицу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Газовое, огнестрельное бесствольное оружие 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самообороны, холодное оружие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>пятьсот рублей за каждую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единицу       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Гранаты, мины, снаряды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три тысячи рублей за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каждую единицу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Взрывчатые вещества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две тысячи рублей за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каждые 1000 граммов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Боеприпасы         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десять рублей за каждую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единицу                 </w:t>
            </w:r>
          </w:p>
        </w:tc>
      </w:tr>
    </w:tbl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67E" w:rsidRDefault="003A567E"/>
    <w:sectPr w:rsidR="003A567E" w:rsidSect="000A69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53"/>
    <w:rsid w:val="00000C44"/>
    <w:rsid w:val="0002250F"/>
    <w:rsid w:val="00035EC9"/>
    <w:rsid w:val="000833D3"/>
    <w:rsid w:val="0009649D"/>
    <w:rsid w:val="000A1C61"/>
    <w:rsid w:val="000A6953"/>
    <w:rsid w:val="000B449F"/>
    <w:rsid w:val="000F5B45"/>
    <w:rsid w:val="00105EA1"/>
    <w:rsid w:val="00122FC7"/>
    <w:rsid w:val="0016615D"/>
    <w:rsid w:val="00172BFE"/>
    <w:rsid w:val="00185C9D"/>
    <w:rsid w:val="001E5C90"/>
    <w:rsid w:val="001F3E25"/>
    <w:rsid w:val="00253D12"/>
    <w:rsid w:val="0028505A"/>
    <w:rsid w:val="002B78B6"/>
    <w:rsid w:val="002C0F90"/>
    <w:rsid w:val="002D341A"/>
    <w:rsid w:val="002F4456"/>
    <w:rsid w:val="0032170D"/>
    <w:rsid w:val="00345716"/>
    <w:rsid w:val="0037522F"/>
    <w:rsid w:val="003937DB"/>
    <w:rsid w:val="003A567E"/>
    <w:rsid w:val="003A7358"/>
    <w:rsid w:val="003B625F"/>
    <w:rsid w:val="003B6C1F"/>
    <w:rsid w:val="003E5338"/>
    <w:rsid w:val="00430DF8"/>
    <w:rsid w:val="0044790A"/>
    <w:rsid w:val="004556A8"/>
    <w:rsid w:val="00467D85"/>
    <w:rsid w:val="00470DFB"/>
    <w:rsid w:val="0047367C"/>
    <w:rsid w:val="00495EE9"/>
    <w:rsid w:val="004A5725"/>
    <w:rsid w:val="004B6136"/>
    <w:rsid w:val="004D0052"/>
    <w:rsid w:val="00520498"/>
    <w:rsid w:val="005340DF"/>
    <w:rsid w:val="00565378"/>
    <w:rsid w:val="0058181B"/>
    <w:rsid w:val="005B5056"/>
    <w:rsid w:val="005D6DBF"/>
    <w:rsid w:val="005E0758"/>
    <w:rsid w:val="005F7270"/>
    <w:rsid w:val="006046C7"/>
    <w:rsid w:val="00641B4A"/>
    <w:rsid w:val="0065750A"/>
    <w:rsid w:val="00673A90"/>
    <w:rsid w:val="00685907"/>
    <w:rsid w:val="006A4516"/>
    <w:rsid w:val="006D02AA"/>
    <w:rsid w:val="006D5FAC"/>
    <w:rsid w:val="006E3E60"/>
    <w:rsid w:val="006F2A21"/>
    <w:rsid w:val="00714764"/>
    <w:rsid w:val="00732C20"/>
    <w:rsid w:val="007370D4"/>
    <w:rsid w:val="00756555"/>
    <w:rsid w:val="00764B7F"/>
    <w:rsid w:val="00786680"/>
    <w:rsid w:val="00790E4A"/>
    <w:rsid w:val="00795931"/>
    <w:rsid w:val="007A6123"/>
    <w:rsid w:val="007C03EE"/>
    <w:rsid w:val="007C35A5"/>
    <w:rsid w:val="007C7653"/>
    <w:rsid w:val="0080698C"/>
    <w:rsid w:val="00820D95"/>
    <w:rsid w:val="00830628"/>
    <w:rsid w:val="00863651"/>
    <w:rsid w:val="00864A80"/>
    <w:rsid w:val="00885CAF"/>
    <w:rsid w:val="00886608"/>
    <w:rsid w:val="008A59B0"/>
    <w:rsid w:val="008C3FF4"/>
    <w:rsid w:val="008D0C8A"/>
    <w:rsid w:val="008F0767"/>
    <w:rsid w:val="008F3BED"/>
    <w:rsid w:val="008F6DE3"/>
    <w:rsid w:val="00915B6A"/>
    <w:rsid w:val="009169D7"/>
    <w:rsid w:val="009226D4"/>
    <w:rsid w:val="0092339B"/>
    <w:rsid w:val="0093786D"/>
    <w:rsid w:val="009A7BD1"/>
    <w:rsid w:val="009F507A"/>
    <w:rsid w:val="00A113D5"/>
    <w:rsid w:val="00A31ED1"/>
    <w:rsid w:val="00A33CD8"/>
    <w:rsid w:val="00A34DFF"/>
    <w:rsid w:val="00A37059"/>
    <w:rsid w:val="00A479B5"/>
    <w:rsid w:val="00A65C3E"/>
    <w:rsid w:val="00A9387D"/>
    <w:rsid w:val="00AB3374"/>
    <w:rsid w:val="00AD2642"/>
    <w:rsid w:val="00AD5B51"/>
    <w:rsid w:val="00AF06D8"/>
    <w:rsid w:val="00AF1D5E"/>
    <w:rsid w:val="00AF7BB3"/>
    <w:rsid w:val="00B07224"/>
    <w:rsid w:val="00B20CB5"/>
    <w:rsid w:val="00B220CC"/>
    <w:rsid w:val="00B7320C"/>
    <w:rsid w:val="00BB142F"/>
    <w:rsid w:val="00BE66D1"/>
    <w:rsid w:val="00BF6F91"/>
    <w:rsid w:val="00C36DC4"/>
    <w:rsid w:val="00C9667C"/>
    <w:rsid w:val="00C9766A"/>
    <w:rsid w:val="00CC2427"/>
    <w:rsid w:val="00CC5B5C"/>
    <w:rsid w:val="00CF0B3F"/>
    <w:rsid w:val="00D430EA"/>
    <w:rsid w:val="00D558AB"/>
    <w:rsid w:val="00DA4280"/>
    <w:rsid w:val="00DD2686"/>
    <w:rsid w:val="00DD3E1E"/>
    <w:rsid w:val="00DF0C4B"/>
    <w:rsid w:val="00DF472D"/>
    <w:rsid w:val="00E009FC"/>
    <w:rsid w:val="00E2202E"/>
    <w:rsid w:val="00E2522D"/>
    <w:rsid w:val="00E27083"/>
    <w:rsid w:val="00E42F7C"/>
    <w:rsid w:val="00E559CB"/>
    <w:rsid w:val="00E60774"/>
    <w:rsid w:val="00EA64F2"/>
    <w:rsid w:val="00EA7152"/>
    <w:rsid w:val="00EC0881"/>
    <w:rsid w:val="00EC1F46"/>
    <w:rsid w:val="00EC2895"/>
    <w:rsid w:val="00EC41DB"/>
    <w:rsid w:val="00EC5D7E"/>
    <w:rsid w:val="00ED0DE1"/>
    <w:rsid w:val="00EF40E2"/>
    <w:rsid w:val="00EF7410"/>
    <w:rsid w:val="00F07337"/>
    <w:rsid w:val="00F24D40"/>
    <w:rsid w:val="00F31C0D"/>
    <w:rsid w:val="00F44E4D"/>
    <w:rsid w:val="00F512BE"/>
    <w:rsid w:val="00F60A92"/>
    <w:rsid w:val="00F94B23"/>
    <w:rsid w:val="00FB59DC"/>
    <w:rsid w:val="00FD344B"/>
    <w:rsid w:val="00FD6E54"/>
    <w:rsid w:val="00FE0357"/>
    <w:rsid w:val="00FE0FBA"/>
    <w:rsid w:val="00FE47D6"/>
    <w:rsid w:val="00FF0C92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6CC7-B67B-4F6C-8C8D-5C8FC9D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8E0036A0150A2C3C81AE8CD4F6BD96CF12D06A7DD8FFF39DE0EA7CD1EH5E" TargetMode="External"/><Relationship Id="rId5" Type="http://schemas.openxmlformats.org/officeDocument/2006/relationships/hyperlink" Target="consultantplus://offline/ref=6908E0036A0150A2C3C81AE8CD4F6BD96CF12C0CA4DD8FFF39DE0EA7CD1EH5E" TargetMode="External"/><Relationship Id="rId4" Type="http://schemas.openxmlformats.org/officeDocument/2006/relationships/hyperlink" Target="consultantplus://offline/ref=6908E0036A0150A2C3C804E5DB2335D66EFA7209AED784A9628155FA9AEC037717H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AdminAPMR</dc:creator>
  <cp:keywords/>
  <dc:description/>
  <cp:lastModifiedBy>AdminAPMR</cp:lastModifiedBy>
  <cp:revision>1</cp:revision>
  <dcterms:created xsi:type="dcterms:W3CDTF">2016-11-02T04:07:00Z</dcterms:created>
  <dcterms:modified xsi:type="dcterms:W3CDTF">2016-11-02T04:10:00Z</dcterms:modified>
</cp:coreProperties>
</file>